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7F13819E" w14:textId="6A5304CA" w:rsidR="009230B1" w:rsidRPr="009230B1" w:rsidRDefault="009230B1" w:rsidP="009230B1">
      <w:pPr>
        <w:rPr>
          <w:rFonts w:ascii="Times" w:hAnsi="Times" w:cs="Times"/>
          <w:b/>
          <w:bCs/>
        </w:rPr>
      </w:pPr>
      <w:r w:rsidRPr="009230B1">
        <w:rPr>
          <w:rFonts w:ascii="Times" w:hAnsi="Times" w:cs="Times"/>
          <w:b/>
          <w:bCs/>
        </w:rPr>
        <w:t>Health Care Flexible Spending Arrangement – Increase in Maximum</w:t>
      </w:r>
      <w:r>
        <w:rPr>
          <w:rFonts w:ascii="Times" w:hAnsi="Times" w:cs="Times"/>
          <w:b/>
          <w:bCs/>
        </w:rPr>
        <w:t xml:space="preserve"> - Indexed</w:t>
      </w:r>
    </w:p>
    <w:p w14:paraId="2A6085E2" w14:textId="77777777" w:rsidR="009230B1" w:rsidRPr="009230B1" w:rsidRDefault="009230B1" w:rsidP="009230B1">
      <w:pPr>
        <w:rPr>
          <w:rFonts w:ascii="Times" w:hAnsi="Times" w:cs="Times"/>
        </w:rPr>
      </w:pPr>
    </w:p>
    <w:p w14:paraId="53FCEFC4" w14:textId="576F929C" w:rsidR="009230B1" w:rsidRPr="009230B1" w:rsidRDefault="009230B1" w:rsidP="009230B1">
      <w:pPr>
        <w:rPr>
          <w:rFonts w:ascii="Times" w:hAnsi="Times" w:cs="Times"/>
          <w:color w:val="0070C0"/>
        </w:rPr>
      </w:pPr>
      <w:r w:rsidRPr="009230B1">
        <w:rPr>
          <w:rFonts w:ascii="Times" w:hAnsi="Times" w:cs="Times"/>
        </w:rPr>
        <w:tab/>
        <w:t xml:space="preserve">The Health Care Flexible Spending Arrangement enables you to pay for eligible expenses under Sections 105 and 213(d) of the Internal Revenue Code.  Effective for the Plan Year beginning </w:t>
      </w:r>
      <w:proofErr w:type="spellStart"/>
      <w:r w:rsidRPr="009230B1">
        <w:rPr>
          <w:rFonts w:ascii="Times" w:hAnsi="Times" w:cs="Times"/>
          <w:color w:val="FF0000"/>
        </w:rPr>
        <w:t>EffDate</w:t>
      </w:r>
      <w:proofErr w:type="spellEnd"/>
      <w:r w:rsidRPr="009230B1">
        <w:rPr>
          <w:rFonts w:ascii="Times" w:hAnsi="Times" w:cs="Times"/>
        </w:rPr>
        <w:t>, the Health Care Flexible Spending Arrangement maximum is $</w:t>
      </w:r>
      <w:r w:rsidR="00B14B41">
        <w:rPr>
          <w:rFonts w:ascii="Times" w:hAnsi="Times" w:cs="Times"/>
          <w:color w:val="FF0000"/>
        </w:rPr>
        <w:t>3,</w:t>
      </w:r>
      <w:r w:rsidR="00870780">
        <w:rPr>
          <w:rFonts w:ascii="Times" w:hAnsi="Times" w:cs="Times"/>
          <w:color w:val="FF0000"/>
        </w:rPr>
        <w:t>20</w:t>
      </w:r>
      <w:r w:rsidRPr="009230B1">
        <w:rPr>
          <w:rFonts w:ascii="Times" w:hAnsi="Times" w:cs="Times"/>
          <w:color w:val="FF0000"/>
        </w:rPr>
        <w:t>0.00</w:t>
      </w:r>
      <w:r w:rsidRPr="009230B1">
        <w:rPr>
          <w:rFonts w:ascii="Times" w:hAnsi="Times" w:cs="Times"/>
        </w:rPr>
        <w:t>. Such maximum shall be indexed annually.</w:t>
      </w: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6968C053" w14:textId="77777777" w:rsidR="00E9694C" w:rsidRDefault="00E9694C" w:rsidP="00E9694C">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72A711EE" w14:textId="77777777" w:rsidR="00E9694C" w:rsidRDefault="00E9694C" w:rsidP="00E9694C">
      <w:pPr>
        <w:tabs>
          <w:tab w:val="left" w:pos="547"/>
          <w:tab w:val="left" w:pos="907"/>
          <w:tab w:val="left" w:pos="1440"/>
        </w:tabs>
        <w:rPr>
          <w:rFonts w:ascii="Times" w:hAnsi="Times" w:cs="Times"/>
        </w:rPr>
      </w:pPr>
    </w:p>
    <w:p w14:paraId="0E67D93D" w14:textId="77777777" w:rsidR="00E9694C" w:rsidRDefault="00E9694C" w:rsidP="00E9694C">
      <w:pPr>
        <w:tabs>
          <w:tab w:val="left" w:pos="547"/>
          <w:tab w:val="left" w:pos="907"/>
          <w:tab w:val="left" w:pos="1440"/>
        </w:tabs>
        <w:rPr>
          <w:rFonts w:ascii="Times" w:hAnsi="Times" w:cs="Times"/>
        </w:rPr>
      </w:pPr>
      <w:r>
        <w:rPr>
          <w:rFonts w:ascii="Times" w:hAnsi="Times" w:cs="Times"/>
        </w:rPr>
        <w:t>Name of Employer:</w:t>
      </w:r>
    </w:p>
    <w:p w14:paraId="4105C3B7" w14:textId="77777777" w:rsidR="00E9694C" w:rsidRDefault="00E9694C" w:rsidP="00E9694C">
      <w:pPr>
        <w:tabs>
          <w:tab w:val="left" w:pos="547"/>
          <w:tab w:val="left" w:pos="907"/>
          <w:tab w:val="left" w:pos="1440"/>
        </w:tabs>
        <w:rPr>
          <w:rFonts w:ascii="Times" w:hAnsi="Times" w:cs="Times"/>
        </w:rPr>
      </w:pPr>
    </w:p>
    <w:p w14:paraId="1532130F" w14:textId="77777777" w:rsidR="00E9694C" w:rsidRDefault="00E9694C" w:rsidP="00E9694C">
      <w:pPr>
        <w:tabs>
          <w:tab w:val="left" w:pos="547"/>
          <w:tab w:val="left" w:pos="907"/>
          <w:tab w:val="left" w:pos="1440"/>
        </w:tabs>
        <w:rPr>
          <w:rFonts w:ascii="Times" w:hAnsi="Times" w:cs="Times"/>
        </w:rPr>
      </w:pPr>
      <w:r>
        <w:rPr>
          <w:rFonts w:ascii="Times" w:hAnsi="Times" w:cs="Times"/>
        </w:rPr>
        <w:t>________________________________________</w:t>
      </w:r>
    </w:p>
    <w:p w14:paraId="3D11D62E" w14:textId="77777777" w:rsidR="00E9694C" w:rsidRDefault="00E9694C" w:rsidP="00E9694C">
      <w:pPr>
        <w:tabs>
          <w:tab w:val="left" w:pos="547"/>
          <w:tab w:val="left" w:pos="907"/>
          <w:tab w:val="left" w:pos="1440"/>
        </w:tabs>
        <w:rPr>
          <w:rFonts w:ascii="Times" w:hAnsi="Times" w:cs="Times"/>
        </w:rPr>
      </w:pPr>
    </w:p>
    <w:p w14:paraId="7052713C" w14:textId="77777777" w:rsidR="00E9694C" w:rsidRDefault="00E9694C" w:rsidP="00E9694C">
      <w:pPr>
        <w:tabs>
          <w:tab w:val="left" w:pos="547"/>
          <w:tab w:val="left" w:pos="907"/>
          <w:tab w:val="left" w:pos="1440"/>
        </w:tabs>
        <w:rPr>
          <w:rFonts w:ascii="Times" w:hAnsi="Times" w:cs="Times"/>
        </w:rPr>
      </w:pPr>
    </w:p>
    <w:p w14:paraId="25CEF26D" w14:textId="77777777" w:rsidR="00E9694C" w:rsidRDefault="00E9694C" w:rsidP="00E9694C">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F36FB2B" w14:textId="77777777" w:rsidR="00E9694C" w:rsidRDefault="00E9694C" w:rsidP="00E9694C">
      <w:pPr>
        <w:tabs>
          <w:tab w:val="left" w:pos="547"/>
          <w:tab w:val="left" w:pos="907"/>
          <w:tab w:val="left" w:pos="1440"/>
        </w:tabs>
        <w:rPr>
          <w:rFonts w:ascii="Times" w:hAnsi="Times" w:cs="Times"/>
        </w:rPr>
      </w:pPr>
    </w:p>
    <w:p w14:paraId="4B4E639B" w14:textId="77777777" w:rsidR="00E9694C" w:rsidRDefault="00E9694C" w:rsidP="00E9694C">
      <w:pPr>
        <w:tabs>
          <w:tab w:val="left" w:pos="547"/>
          <w:tab w:val="left" w:pos="907"/>
          <w:tab w:val="left" w:pos="1440"/>
        </w:tabs>
        <w:rPr>
          <w:rFonts w:ascii="Times" w:hAnsi="Times" w:cs="Times"/>
        </w:rPr>
      </w:pPr>
    </w:p>
    <w:p w14:paraId="195019FC" w14:textId="77777777" w:rsidR="00E9694C" w:rsidRDefault="00E9694C" w:rsidP="00E9694C">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77491A68"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26DF6F77" w:rsidR="00880E90" w:rsidRDefault="00695B1A" w:rsidP="00ED609A">
      <w:pPr>
        <w:keepNext/>
        <w:widowControl/>
        <w:jc w:val="center"/>
        <w:rPr>
          <w:rFonts w:ascii="Times" w:hAnsi="Times" w:cs="Times"/>
          <w:b/>
        </w:rPr>
      </w:pPr>
      <w:r w:rsidRPr="00C05604">
        <w:rPr>
          <w:rFonts w:ascii="Times" w:hAnsi="Times" w:cs="Times"/>
          <w:b/>
        </w:rPr>
        <w:t>SUMMARY OF CHANGES</w:t>
      </w:r>
    </w:p>
    <w:p w14:paraId="64C3EE36" w14:textId="12765039" w:rsidR="00D031A5" w:rsidRDefault="00D031A5" w:rsidP="00ED609A">
      <w:pPr>
        <w:keepNext/>
        <w:widowControl/>
        <w:jc w:val="center"/>
        <w:rPr>
          <w:rFonts w:ascii="Times" w:hAnsi="Times" w:cs="Times"/>
          <w:b/>
        </w:rPr>
      </w:pPr>
    </w:p>
    <w:p w14:paraId="20B7D577" w14:textId="77777777" w:rsidR="00D031A5" w:rsidRPr="00C05604" w:rsidRDefault="00D031A5" w:rsidP="00D031A5">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4784F312" w14:textId="77777777" w:rsidR="00D031A5" w:rsidRPr="00C05604" w:rsidRDefault="00D031A5" w:rsidP="00D031A5">
      <w:pPr>
        <w:tabs>
          <w:tab w:val="left" w:pos="547"/>
          <w:tab w:val="left" w:pos="907"/>
          <w:tab w:val="left" w:pos="1440"/>
        </w:tabs>
        <w:ind w:left="547" w:hanging="547"/>
        <w:rPr>
          <w:rFonts w:ascii="Times" w:hAnsi="Times" w:cs="Times"/>
        </w:rPr>
      </w:pPr>
    </w:p>
    <w:p w14:paraId="526DE642" w14:textId="56FDE8E0" w:rsidR="00D031A5" w:rsidRPr="00C05604" w:rsidRDefault="00D031A5" w:rsidP="00D031A5">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FC59CEC" w14:textId="77777777" w:rsidR="00880E90" w:rsidRPr="00C05604" w:rsidRDefault="00880E90" w:rsidP="00ED609A">
      <w:pPr>
        <w:rPr>
          <w:rFonts w:ascii="Times" w:hAnsi="Times" w:cs="Times"/>
        </w:rPr>
      </w:pPr>
    </w:p>
    <w:p w14:paraId="66E0266C" w14:textId="77777777" w:rsidR="00870780" w:rsidRPr="009230B1" w:rsidRDefault="00870780" w:rsidP="00870780">
      <w:pPr>
        <w:rPr>
          <w:rFonts w:ascii="Times" w:hAnsi="Times" w:cs="Times"/>
          <w:b/>
          <w:bCs/>
        </w:rPr>
      </w:pPr>
      <w:r w:rsidRPr="009230B1">
        <w:rPr>
          <w:rFonts w:ascii="Times" w:hAnsi="Times" w:cs="Times"/>
          <w:b/>
          <w:bCs/>
        </w:rPr>
        <w:t>Health Care Flexible Spending Arrangement – Increase in Maximum</w:t>
      </w:r>
      <w:r>
        <w:rPr>
          <w:rFonts w:ascii="Times" w:hAnsi="Times" w:cs="Times"/>
          <w:b/>
          <w:bCs/>
        </w:rPr>
        <w:t xml:space="preserve"> - Indexed</w:t>
      </w:r>
    </w:p>
    <w:p w14:paraId="402EDC05" w14:textId="77777777" w:rsidR="00870780" w:rsidRPr="009230B1" w:rsidRDefault="00870780" w:rsidP="00870780">
      <w:pPr>
        <w:rPr>
          <w:rFonts w:ascii="Times" w:hAnsi="Times" w:cs="Times"/>
        </w:rPr>
      </w:pPr>
    </w:p>
    <w:p w14:paraId="60BB7D09" w14:textId="77777777" w:rsidR="00870780" w:rsidRPr="009230B1" w:rsidRDefault="00870780" w:rsidP="00870780">
      <w:pPr>
        <w:rPr>
          <w:rFonts w:ascii="Times" w:hAnsi="Times" w:cs="Times"/>
          <w:color w:val="0070C0"/>
        </w:rPr>
      </w:pPr>
      <w:r w:rsidRPr="009230B1">
        <w:rPr>
          <w:rFonts w:ascii="Times" w:hAnsi="Times" w:cs="Times"/>
        </w:rPr>
        <w:tab/>
        <w:t xml:space="preserve">The Health Care Flexible Spending Arrangement enables you to pay for eligible expenses under Sections 105 and 213(d) of the Internal Revenue Code.  Effective for the Plan Year beginning </w:t>
      </w:r>
      <w:proofErr w:type="spellStart"/>
      <w:r w:rsidRPr="009230B1">
        <w:rPr>
          <w:rFonts w:ascii="Times" w:hAnsi="Times" w:cs="Times"/>
          <w:color w:val="FF0000"/>
        </w:rPr>
        <w:t>EffDate</w:t>
      </w:r>
      <w:proofErr w:type="spellEnd"/>
      <w:r w:rsidRPr="009230B1">
        <w:rPr>
          <w:rFonts w:ascii="Times" w:hAnsi="Times" w:cs="Times"/>
        </w:rPr>
        <w:t>, the Health Care Flexible Spending Arrangement maximum is $</w:t>
      </w:r>
      <w:r>
        <w:rPr>
          <w:rFonts w:ascii="Times" w:hAnsi="Times" w:cs="Times"/>
          <w:color w:val="FF0000"/>
        </w:rPr>
        <w:t>3,20</w:t>
      </w:r>
      <w:r w:rsidRPr="009230B1">
        <w:rPr>
          <w:rFonts w:ascii="Times" w:hAnsi="Times" w:cs="Times"/>
          <w:color w:val="FF0000"/>
        </w:rPr>
        <w:t>0.00</w:t>
      </w:r>
      <w:r w:rsidRPr="009230B1">
        <w:rPr>
          <w:rFonts w:ascii="Times" w:hAnsi="Times" w:cs="Times"/>
        </w:rPr>
        <w:t xml:space="preserve">. Such </w:t>
      </w:r>
      <w:proofErr w:type="gramStart"/>
      <w:r w:rsidRPr="009230B1">
        <w:rPr>
          <w:rFonts w:ascii="Times" w:hAnsi="Times" w:cs="Times"/>
        </w:rPr>
        <w:t>maximum</w:t>
      </w:r>
      <w:proofErr w:type="gramEnd"/>
      <w:r w:rsidRPr="009230B1">
        <w:rPr>
          <w:rFonts w:ascii="Times" w:hAnsi="Times" w:cs="Times"/>
        </w:rPr>
        <w:t xml:space="preserve"> shall be indexed annually.</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1B93"/>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14937"/>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0780"/>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230B1"/>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41D4"/>
    <w:rsid w:val="00B03DD4"/>
    <w:rsid w:val="00B045B8"/>
    <w:rsid w:val="00B1209C"/>
    <w:rsid w:val="00B14B41"/>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31A5"/>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4C"/>
    <w:rsid w:val="00E969D6"/>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6</cp:revision>
  <cp:lastPrinted>2021-06-04T18:10:00Z</cp:lastPrinted>
  <dcterms:created xsi:type="dcterms:W3CDTF">2022-08-31T21:02:00Z</dcterms:created>
  <dcterms:modified xsi:type="dcterms:W3CDTF">2023-11-10T13:18:00Z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